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sdt>
        <w:sdtPr>
          <w:tag w:val="goog_rdk_0"/>
        </w:sdtPr>
        <w:sdtContent>
          <w:r w:rsidDel="00000000" w:rsidR="00000000" w:rsidRPr="00000000">
            <w:rPr>
              <w:rFonts w:ascii="Gungsuh" w:cs="Gungsuh" w:eastAsia="Gungsuh" w:hAnsi="Gungsuh"/>
              <w:b w:val="1"/>
              <w:i w:val="0"/>
              <w:smallCaps w:val="0"/>
              <w:strike w:val="0"/>
              <w:color w:val="000000"/>
              <w:sz w:val="36"/>
              <w:szCs w:val="36"/>
              <w:u w:val="none"/>
              <w:shd w:fill="auto" w:val="clear"/>
              <w:vertAlign w:val="baseline"/>
              <w:rtl w:val="0"/>
            </w:rPr>
            <w:t xml:space="preserve">實證醫學中心 臨床情境文獻查證競賽 報名表</w:t>
          </w:r>
        </w:sdtContent>
      </w:sdt>
      <w:r w:rsidDel="00000000" w:rsidR="00000000" w:rsidRPr="00000000">
        <w:rPr>
          <w:rtl w:val="0"/>
        </w:rPr>
      </w:r>
    </w:p>
    <w:tbl>
      <w:tblPr>
        <w:tblStyle w:val="Table1"/>
        <w:tblW w:w="927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96"/>
        <w:gridCol w:w="1179"/>
        <w:gridCol w:w="380"/>
        <w:gridCol w:w="1134"/>
        <w:gridCol w:w="2127"/>
        <w:gridCol w:w="1275"/>
        <w:gridCol w:w="2481"/>
        <w:tblGridChange w:id="0">
          <w:tblGrid>
            <w:gridCol w:w="696"/>
            <w:gridCol w:w="1179"/>
            <w:gridCol w:w="380"/>
            <w:gridCol w:w="1134"/>
            <w:gridCol w:w="2127"/>
            <w:gridCol w:w="1275"/>
            <w:gridCol w:w="2481"/>
          </w:tblGrid>
        </w:tblGridChange>
      </w:tblGrid>
      <w:tr>
        <w:trPr>
          <w:cantSplit w:val="0"/>
          <w:trHeight w:val="603" w:hRule="atLeast"/>
          <w:tblHeader w:val="0"/>
        </w:trPr>
        <w:tc>
          <w:tcPr>
            <w:gridSpan w:val="3"/>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●學員基本資料</w:t>
                </w:r>
              </w:sdtContent>
            </w:sdt>
          </w:p>
        </w:tc>
        <w:tc>
          <w:tcPr>
            <w:vAlign w:val="cente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姓  名</w:t>
                </w:r>
              </w:sdtContent>
            </w:sdt>
          </w:p>
        </w:tc>
        <w:tc>
          <w:tcPr>
            <w:vAlign w:val="cente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林姿廷、賀韻庭</w:t>
                </w:r>
              </w:sdtContent>
            </w:sdt>
          </w:p>
        </w:tc>
        <w:tc>
          <w:tcPr>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4"/>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單　位</w:t>
                </w:r>
              </w:sdtContent>
            </w:sdt>
          </w:p>
        </w:tc>
        <w:tc>
          <w:tcPr>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臨床心理中心</w:t>
                </w:r>
              </w:sdtContent>
            </w:sdt>
          </w:p>
        </w:tc>
      </w:tr>
      <w:tr>
        <w:trPr>
          <w:cantSplit w:val="0"/>
          <w:trHeight w:val="603" w:hRule="atLeast"/>
          <w:tblHeader w:val="0"/>
        </w:trPr>
        <w:tc>
          <w:tcP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6"/>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分機</w:t>
                </w:r>
              </w:sdtContent>
            </w:sdt>
          </w:p>
        </w:tc>
        <w:tc>
          <w:tcPr>
            <w:gridSpan w:val="2"/>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6703</w:t>
            </w:r>
          </w:p>
        </w:tc>
        <w:tc>
          <w:tcPr>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7"/>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員　編</w:t>
                </w:r>
              </w:sdtContent>
            </w:sdt>
          </w:p>
        </w:tc>
        <w:tc>
          <w:tcP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8"/>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無</w:t>
                </w:r>
              </w:sdtContent>
            </w:sdt>
          </w:p>
        </w:tc>
        <w:tc>
          <w:tcP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9"/>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填寫日期</w:t>
                </w:r>
              </w:sdtContent>
            </w:sdt>
          </w:p>
        </w:tc>
        <w:tc>
          <w:tcP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0"/>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111年　6  月 18　 日</w:t>
                </w:r>
              </w:sdtContent>
            </w:sdt>
          </w:p>
        </w:tc>
      </w:tr>
      <w:tr>
        <w:trPr>
          <w:cantSplit w:val="1"/>
          <w:trHeight w:val="400" w:hRule="atLeast"/>
          <w:tblHeader w:val="0"/>
        </w:trPr>
        <w:tc>
          <w:tcPr>
            <w:vMerge w:val="restart"/>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1"/>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類別</w:t>
                </w:r>
              </w:sdtContent>
            </w:sdt>
          </w:p>
        </w:tc>
        <w:tc>
          <w:tcP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2"/>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醫師</w:t>
                </w:r>
              </w:sdtContent>
            </w:sdt>
          </w:p>
        </w:tc>
        <w:tc>
          <w:tcPr>
            <w:gridSpan w:val="5"/>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sdt>
              <w:sdtPr>
                <w:tag w:val="goog_rdk_13"/>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□醫學生　□PGY  □住院醫師　□主治醫師　□其他</w:t>
                </w:r>
              </w:sdtContent>
            </w:sdt>
            <w:sdt>
              <w:sdtPr>
                <w:tag w:val="goog_rdk_14"/>
              </w:sdtPr>
              <w:sdtContent>
                <w:r w:rsidDel="00000000" w:rsidR="00000000" w:rsidRPr="00000000">
                  <w:rPr>
                    <w:rFonts w:ascii="Gungsuh" w:cs="Gungsuh" w:eastAsia="Gungsuh" w:hAnsi="Gungsuh"/>
                    <w:b w:val="0"/>
                    <w:i w:val="0"/>
                    <w:smallCaps w:val="0"/>
                    <w:strike w:val="0"/>
                    <w:color w:val="000000"/>
                    <w:sz w:val="24"/>
                    <w:szCs w:val="24"/>
                    <w:u w:val="single"/>
                    <w:shd w:fill="auto" w:val="clear"/>
                    <w:vertAlign w:val="baseline"/>
                    <w:rtl w:val="0"/>
                  </w:rPr>
                  <w:t xml:space="preserve">       　 </w:t>
                </w:r>
              </w:sdtContent>
            </w:sdt>
          </w:p>
        </w:tc>
      </w:tr>
      <w:tr>
        <w:trPr>
          <w:cantSplit w:val="1"/>
          <w:trHeight w:val="400" w:hRule="atLeast"/>
          <w:tblHeader w:val="0"/>
        </w:trPr>
        <w:tc>
          <w:tcPr>
            <w:vMerge w:val="continue"/>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5"/>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護理人員</w:t>
                </w:r>
              </w:sdtContent>
            </w:sdt>
          </w:p>
        </w:tc>
        <w:tc>
          <w:tcPr>
            <w:gridSpan w:val="5"/>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6"/>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□實習生　□護理師(士)　□專科護理師　□其他</w:t>
                </w:r>
              </w:sdtContent>
            </w:sdt>
            <w:sdt>
              <w:sdtPr>
                <w:tag w:val="goog_rdk_17"/>
              </w:sdtPr>
              <w:sdtContent>
                <w:r w:rsidDel="00000000" w:rsidR="00000000" w:rsidRPr="00000000">
                  <w:rPr>
                    <w:rFonts w:ascii="Gungsuh" w:cs="Gungsuh" w:eastAsia="Gungsuh" w:hAnsi="Gungsuh"/>
                    <w:b w:val="0"/>
                    <w:i w:val="0"/>
                    <w:smallCaps w:val="0"/>
                    <w:strike w:val="0"/>
                    <w:color w:val="000000"/>
                    <w:sz w:val="24"/>
                    <w:szCs w:val="24"/>
                    <w:u w:val="single"/>
                    <w:shd w:fill="auto" w:val="clear"/>
                    <w:vertAlign w:val="baseline"/>
                    <w:rtl w:val="0"/>
                  </w:rPr>
                  <w:t xml:space="preserve">         　 　 </w:t>
                </w:r>
              </w:sdtContent>
            </w:sdt>
            <w:r w:rsidDel="00000000" w:rsidR="00000000" w:rsidRPr="00000000">
              <w:rPr>
                <w:rtl w:val="0"/>
              </w:rPr>
            </w:r>
          </w:p>
        </w:tc>
      </w:tr>
      <w:tr>
        <w:trPr>
          <w:cantSplit w:val="1"/>
          <w:trHeight w:val="400" w:hRule="atLeast"/>
          <w:tblHeader w:val="0"/>
        </w:trPr>
        <w:tc>
          <w:tcPr>
            <w:vMerge w:val="continue"/>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8"/>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醫事職系</w:t>
                </w:r>
              </w:sdtContent>
            </w:sdt>
          </w:p>
        </w:tc>
        <w:tc>
          <w:tcPr>
            <w:gridSpan w:val="5"/>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9"/>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職系名稱</w:t>
                </w:r>
              </w:sdtContent>
            </w:sdt>
            <w:sdt>
              <w:sdtPr>
                <w:tag w:val="goog_rdk_20"/>
              </w:sdtPr>
              <w:sdtContent>
                <w:r w:rsidDel="00000000" w:rsidR="00000000" w:rsidRPr="00000000">
                  <w:rPr>
                    <w:rFonts w:ascii="Gungsuh" w:cs="Gungsuh" w:eastAsia="Gungsuh" w:hAnsi="Gungsuh"/>
                    <w:b w:val="0"/>
                    <w:i w:val="0"/>
                    <w:smallCaps w:val="0"/>
                    <w:strike w:val="0"/>
                    <w:color w:val="000000"/>
                    <w:sz w:val="24"/>
                    <w:szCs w:val="24"/>
                    <w:u w:val="single"/>
                    <w:shd w:fill="auto" w:val="clear"/>
                    <w:vertAlign w:val="baseline"/>
                    <w:rtl w:val="0"/>
                  </w:rPr>
                  <w:t xml:space="preserve">    臨床心理師           </w:t>
                </w:r>
              </w:sdtContent>
            </w:sdt>
            <w:sdt>
              <w:sdtPr>
                <w:tag w:val="goog_rdk_21"/>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■實習生  □PGY  □其他</w:t>
                </w:r>
              </w:sdtContent>
            </w:sdt>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tl w:val="0"/>
              </w:rPr>
            </w:r>
          </w:p>
        </w:tc>
      </w:tr>
      <w:tr>
        <w:trPr>
          <w:cantSplit w:val="1"/>
          <w:trHeight w:val="400" w:hRule="atLeast"/>
          <w:tblHeader w:val="0"/>
        </w:trPr>
        <w:tc>
          <w:tcPr>
            <w:vMerge w:val="continue"/>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6"/>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22"/>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□其他</w:t>
                </w:r>
              </w:sdtContent>
            </w:sdt>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tl w:val="0"/>
              </w:rPr>
            </w:r>
          </w:p>
        </w:tc>
      </w:tr>
      <w:tr>
        <w:trPr>
          <w:cantSplit w:val="0"/>
          <w:tblHeader w:val="0"/>
        </w:trPr>
        <w:tc>
          <w:tcPr>
            <w:gridSpan w:val="7"/>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23"/>
              </w:sdtPr>
              <w:sdtContent>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臨床問題敘述(Problem description)</w:t>
                </w:r>
              </w:sdtContent>
            </w:sdt>
            <w:sdt>
              <w:sdtPr>
                <w:tag w:val="goog_rdk_24"/>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佔分10%</w:t>
                </w:r>
              </w:sdtContent>
            </w:sdt>
            <w:sdt>
              <w:sdtPr>
                <w:tag w:val="goog_rdk_25"/>
              </w:sdtPr>
              <w:sdtContent>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 </w:t>
                </w:r>
              </w:sdtContent>
            </w:sdt>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26"/>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請敘述個案狀況（可包括病患主訴、病史、檢查以及處置等）：</w:t>
                </w:r>
              </w:sdtContent>
            </w:sdt>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5854065" cy="382270"/>
                  <wp:effectExtent b="0" l="0" r="0" t="0"/>
                  <wp:docPr id="102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854065" cy="382270"/>
                          </a:xfrm>
                          <a:prstGeom prst="rect"/>
                          <a:ln/>
                        </pic:spPr>
                      </pic:pic>
                    </a:graphicData>
                  </a:graphic>
                </wp:inline>
              </w:drawing>
            </w:r>
            <w:r w:rsidDel="00000000" w:rsidR="00000000" w:rsidRPr="00000000">
              <w:rPr>
                <w:rtl w:val="0"/>
              </w:rPr>
            </w:r>
          </w:p>
          <w:tbl>
            <w:tblPr>
              <w:tblStyle w:val="Table2"/>
              <w:tblW w:w="878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38"/>
              <w:gridCol w:w="6946"/>
              <w:tblGridChange w:id="0">
                <w:tblGrid>
                  <w:gridCol w:w="1838"/>
                  <w:gridCol w:w="6946"/>
                </w:tblGrid>
              </w:tblGridChange>
            </w:tblGrid>
            <w:tr>
              <w:trPr>
                <w:cantSplit w:val="0"/>
                <w:trHeight w:val="432" w:hRule="atLeast"/>
                <w:tblHeader w:val="0"/>
              </w:trPr>
              <w:tc>
                <w:tcP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atient/</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roblem</w:t>
                  </w:r>
                  <w:sdt>
                    <w:sdtPr>
                      <w:tag w:val="goog_rdk_27"/>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w:t>
                      </w:r>
                    </w:sdtContent>
                  </w:sdt>
                </w:p>
              </w:tc>
              <w:tc>
                <w:tcP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28"/>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73歲男性，高血壓病史，近一年記憶力下降、步態不穩。</w:t>
                      </w:r>
                    </w:sdtContent>
                  </w:sdt>
                </w:p>
              </w:tc>
            </w:tr>
            <w:tr>
              <w:trPr>
                <w:cantSplit w:val="0"/>
                <w:trHeight w:val="432" w:hRule="atLeast"/>
                <w:tblHeader w:val="0"/>
              </w:trPr>
              <w:tc>
                <w:tcP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ntervention</w:t>
                  </w:r>
                  <w:sdt>
                    <w:sdtPr>
                      <w:tag w:val="goog_rdk_29"/>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w:t>
                      </w:r>
                    </w:sdtContent>
                  </w:sdt>
                </w:p>
              </w:tc>
              <w:tc>
                <w:tcP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30"/>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腰椎穿刺引流腦脊髓液</w:t>
                      </w:r>
                    </w:sdtContent>
                  </w:sdt>
                </w:p>
              </w:tc>
            </w:tr>
            <w:tr>
              <w:trPr>
                <w:cantSplit w:val="0"/>
                <w:trHeight w:val="432" w:hRule="atLeast"/>
                <w:tblHeader w:val="0"/>
              </w:trPr>
              <w:tc>
                <w:tcP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omparison</w:t>
                  </w:r>
                  <w:sdt>
                    <w:sdtPr>
                      <w:tag w:val="goog_rdk_31"/>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w:t>
                      </w:r>
                    </w:sdtContent>
                  </w:sdt>
                </w:p>
              </w:tc>
              <w:tc>
                <w:tcP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32"/>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傳統/內視鏡第三腦室造口術、引流管置入</w:t>
                      </w:r>
                    </w:sdtContent>
                  </w:sdt>
                </w:p>
              </w:tc>
            </w:tr>
            <w:tr>
              <w:trPr>
                <w:cantSplit w:val="0"/>
                <w:trHeight w:val="432" w:hRule="atLeast"/>
                <w:tblHeader w:val="0"/>
              </w:trPr>
              <w:tc>
                <w:tcP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utcome</w:t>
                  </w:r>
                  <w:sdt>
                    <w:sdtPr>
                      <w:tag w:val="goog_rdk_33"/>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w:t>
                      </w:r>
                    </w:sdtContent>
                  </w:sdt>
                </w:p>
              </w:tc>
              <w:tc>
                <w:tcP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34"/>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步態不穩加劇，跌倒數次</w:t>
                      </w:r>
                    </w:sdtContent>
                  </w:sdt>
                </w:p>
              </w:tc>
            </w:tr>
          </w:tbl>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r>
        <w:trPr>
          <w:cantSplit w:val="0"/>
          <w:tblHeader w:val="0"/>
        </w:trPr>
        <w:tc>
          <w:tcPr>
            <w:gridSpan w:val="7"/>
            <w:shd w:fill="ffffff" w:val="clear"/>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35"/>
              </w:sdtPr>
              <w:sdtContent>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關鍵字(Key words)</w:t>
                </w:r>
              </w:sdtContent>
            </w:sdt>
            <w:sdt>
              <w:sdtPr>
                <w:tag w:val="goog_rdk_36"/>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此項目與search合併計分</w:t>
                </w:r>
              </w:sdtContent>
            </w:sdt>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333333"/>
                <w:sz w:val="24"/>
                <w:szCs w:val="24"/>
                <w:highlight w:val="white"/>
                <w:u w:val="none"/>
                <w:vertAlign w:val="baseline"/>
              </w:rPr>
            </w:pPr>
            <w:sdt>
              <w:sdtPr>
                <w:tag w:val="goog_rdk_37"/>
              </w:sdtPr>
              <w:sdtContent>
                <w:r w:rsidDel="00000000" w:rsidR="00000000" w:rsidRPr="00000000">
                  <w:rPr>
                    <w:rFonts w:ascii="Gungsuh" w:cs="Gungsuh" w:eastAsia="Gungsuh" w:hAnsi="Gungsuh"/>
                    <w:b w:val="0"/>
                    <w:i w:val="0"/>
                    <w:smallCaps w:val="0"/>
                    <w:strike w:val="0"/>
                    <w:color w:val="333333"/>
                    <w:sz w:val="24"/>
                    <w:szCs w:val="24"/>
                    <w:highlight w:val="white"/>
                    <w:u w:val="none"/>
                    <w:vertAlign w:val="baseline"/>
                    <w:rtl w:val="0"/>
                  </w:rPr>
                  <w:t xml:space="preserve">Alzheimer's disease、Normal pressure hydrocephalus</w:t>
                </w:r>
              </w:sdtContent>
            </w:sdt>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normal pressure hydrocephalus alzheimer's disease differential diagnosis</w:t>
            </w:r>
          </w:p>
        </w:tc>
      </w:tr>
      <w:tr>
        <w:trPr>
          <w:cantSplit w:val="0"/>
          <w:trHeight w:val="419" w:hRule="atLeast"/>
          <w:tblHeader w:val="0"/>
        </w:trPr>
        <w:tc>
          <w:tcPr>
            <w:gridSpan w:val="7"/>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38"/>
              </w:sdtPr>
              <w:sdtContent>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資料庫搜尋敘述(Literature search)</w:t>
                </w:r>
              </w:sdtContent>
            </w:sdt>
            <w:sdt>
              <w:sdtPr>
                <w:tag w:val="goog_rdk_39"/>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佔分10%</w:t>
                </w:r>
              </w:sdtContent>
            </w:sdt>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sdt>
              <w:sdtPr>
                <w:tag w:val="goog_rdk_40"/>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（建議至少搜尋PubMed, Medline, Cochrane）</w:t>
                </w:r>
              </w:sdtContent>
            </w:sdt>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02124"/>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PubMed</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4"/>
                <w:sz w:val="24"/>
                <w:szCs w:val="24"/>
                <w:highlight w:val="white"/>
                <w:u w:val="none"/>
                <w:vertAlign w:val="baseline"/>
                <w:rtl w:val="0"/>
              </w:rPr>
              <w:t xml:space="preserve">Journal of Neurology, Neurosurgery, and Psychiatry</w:t>
            </w:r>
            <w:r w:rsidDel="00000000" w:rsidR="00000000" w:rsidRPr="00000000">
              <w:rPr>
                <w:rtl w:val="0"/>
              </w:rPr>
            </w:r>
          </w:p>
        </w:tc>
      </w:tr>
      <w:tr>
        <w:trPr>
          <w:cantSplit w:val="0"/>
          <w:trHeight w:val="517" w:hRule="atLeast"/>
          <w:tblHeader w:val="0"/>
        </w:trPr>
        <w:tc>
          <w:tcPr>
            <w:gridSpan w:val="7"/>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555759"/>
                <w:sz w:val="22"/>
                <w:szCs w:val="22"/>
                <w:u w:val="none"/>
                <w:shd w:fill="auto" w:val="clear"/>
                <w:vertAlign w:val="baseline"/>
              </w:rPr>
            </w:pPr>
            <w:sdt>
              <w:sdtPr>
                <w:tag w:val="goog_rdk_41"/>
              </w:sdtPr>
              <w:sdtContent>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參考文獻摘要與等級</w:t>
                </w:r>
              </w:sdtContent>
            </w:sdt>
            <w:sdt>
              <w:sdtPr>
                <w:tag w:val="goog_rdk_42"/>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(請參考CEBM - Levels of Evidence 2011)佔分20%</w:t>
                </w:r>
              </w:sdtContent>
            </w:sdt>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4"/>
                <w:szCs w:val="24"/>
                <w:u w:val="none"/>
                <w:shd w:fill="auto" w:val="clear"/>
                <w:vertAlign w:val="baseline"/>
              </w:rPr>
            </w:pPr>
            <w:sdt>
              <w:sdtPr>
                <w:tag w:val="goog_rdk_43"/>
              </w:sdtPr>
              <w:sdtContent>
                <w:r w:rsidDel="00000000" w:rsidR="00000000" w:rsidRPr="00000000">
                  <w:rPr>
                    <w:rFonts w:ascii="Gungsuh" w:cs="Gungsuh" w:eastAsia="Gungsuh" w:hAnsi="Gungsuh"/>
                    <w:b w:val="0"/>
                    <w:i w:val="0"/>
                    <w:smallCaps w:val="0"/>
                    <w:strike w:val="0"/>
                    <w:color w:val="333333"/>
                    <w:sz w:val="24"/>
                    <w:szCs w:val="24"/>
                    <w:highlight w:val="white"/>
                    <w:u w:val="none"/>
                    <w:vertAlign w:val="baseline"/>
                    <w:rtl w:val="0"/>
                  </w:rPr>
                  <w:t xml:space="preserve">　　Normal pressure hydrocephalus</w:t>
                </w:r>
              </w:sdtContent>
            </w:sdt>
            <w:sdt>
              <w:sdtPr>
                <w:tag w:val="goog_rdk_44"/>
              </w:sdtPr>
              <w:sdtContent>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（NPH）</w:t>
                </w:r>
              </w:sdtContent>
            </w:sdt>
            <w:sdt>
              <w:sdtPr>
                <w:tag w:val="goog_rdk_45"/>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在早期階段，主要認知功能症狀為注意力、心理動作速度</w:t>
                </w:r>
              </w:sdtContent>
            </w:sdt>
            <w:sdt>
              <w:sdtPr>
                <w:tag w:val="goog_rdk_46"/>
              </w:sdtPr>
              <w:sdtContent>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（psychomotor speed）</w:t>
                </w:r>
              </w:sdtContent>
            </w:sdt>
            <w:sdt>
              <w:sdtPr>
                <w:tag w:val="goog_rdk_47"/>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和記憶力受損，推測與額葉功能有關；於晚期階段，NPH患者將出現整體認知功能缺損。與Alzheimer's disease</w:t>
                </w:r>
              </w:sdtContent>
            </w:sdt>
            <w:sdt>
              <w:sdtPr>
                <w:tag w:val="goog_rdk_48"/>
              </w:sdtPr>
              <w:sdtContent>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（AD）</w:t>
                </w:r>
              </w:sdtContent>
            </w:sdt>
            <w:sdt>
              <w:sdtPr>
                <w:tag w:val="goog_rdk_49"/>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患者相比，NPH患者的記憶功能缺損似乎比AD患者輕。在診斷NPH方面，臨床和神經影像資料皆至關重要，然而NPH也可能與其他神經退化疾</w:t>
                </w:r>
              </w:sdtContent>
            </w:sdt>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病</w:t>
            </w:r>
            <w:sdt>
              <w:sdtPr>
                <w:tag w:val="goog_rdk_50"/>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共病</w:t>
                </w:r>
              </w:sdtContent>
            </w:sdt>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，特別是</w:t>
            </w:r>
            <w:sdt>
              <w:sdtPr>
                <w:tag w:val="goog_rdk_51"/>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AD，將使得鑑別診斷變得困難，預後也更加複雜。</w:t>
                </w:r>
              </w:sdtContent>
            </w:sdt>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52"/>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隨後回顧NPH與AD共病患者進行分流手術的認知、步態及生理功能之變化。研究針對56 名因</w:t>
                </w:r>
              </w:sdtContent>
            </w:sdt>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NPH</w:t>
            </w:r>
            <w:sdt>
              <w:sdtPr>
                <w:tag w:val="goog_rdk_53"/>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接受引流手術的患者，進行腦組織切片以檢查Alzheimer's disease及對於臨床症狀的影響。研究中使用（global deterioration scale, GDS）、MMSE等測驗針對認知功能進行評估。步態則使用客觀測量速度和行走指數 (ambulatory index, AI) 進行評估。</w:t>
                </w:r>
              </w:sdtContent>
            </w:sdt>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54"/>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結果顯示現出神經斑塊（切片檢查為陽性）的病例的患病率與失智嚴重程度同時增加；與陰性的患者相比，陽性的患者認知障礙（GDS 較高和 MMSE 評分較低）以及步態障礙（AI 評分較高和速度較慢）更嚴重。</w:t>
                </w:r>
              </w:sdtContent>
            </w:sdt>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55"/>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手術後，無論是陽性或陰性的NPH患者，步態速度和 AI 評分顯著改善。年長的</w:t>
                </w:r>
              </w:sdtContent>
            </w:sdt>
            <w:sdt>
              <w:sdtPr>
                <w:tag w:val="goog_rdk_56"/>
              </w:sdtPr>
              <w:sdtContent>
                <w:r w:rsidDel="00000000" w:rsidR="00000000" w:rsidRPr="00000000">
                  <w:rPr>
                    <w:rFonts w:ascii="Gungsuh" w:cs="Gungsuh" w:eastAsia="Gungsuh" w:hAnsi="Gungsuh"/>
                    <w:b w:val="0"/>
                    <w:i w:val="0"/>
                    <w:smallCaps w:val="0"/>
                    <w:strike w:val="0"/>
                    <w:color w:val="333333"/>
                    <w:sz w:val="24"/>
                    <w:szCs w:val="24"/>
                    <w:highlight w:val="white"/>
                    <w:u w:val="none"/>
                    <w:vertAlign w:val="baseline"/>
                    <w:rtl w:val="0"/>
                  </w:rPr>
                  <w:t xml:space="preserve">NPH患者</w:t>
                </w:r>
              </w:sdtContent>
            </w:sdt>
            <w:sdt>
              <w:sdtPr>
                <w:tag w:val="goog_rdk_57"/>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經常共病AD並導致相關的臨床損害。根據研究結果顯示，對於</w:t>
                </w:r>
              </w:sdtContent>
            </w:sdt>
            <w:sdt>
              <w:sdtPr>
                <w:tag w:val="goog_rdk_58"/>
              </w:sdtPr>
              <w:sdtContent>
                <w:r w:rsidDel="00000000" w:rsidR="00000000" w:rsidRPr="00000000">
                  <w:rPr>
                    <w:rFonts w:ascii="Gungsuh" w:cs="Gungsuh" w:eastAsia="Gungsuh" w:hAnsi="Gungsuh"/>
                    <w:b w:val="0"/>
                    <w:i w:val="0"/>
                    <w:smallCaps w:val="0"/>
                    <w:strike w:val="0"/>
                    <w:color w:val="333333"/>
                    <w:sz w:val="24"/>
                    <w:szCs w:val="24"/>
                    <w:highlight w:val="white"/>
                    <w:u w:val="none"/>
                    <w:vertAlign w:val="baseline"/>
                    <w:rtl w:val="0"/>
                  </w:rPr>
                  <w:t xml:space="preserve">NPH與AD</w:t>
                </w:r>
              </w:sdtContent>
            </w:sdt>
            <w:sdt>
              <w:sdtPr>
                <w:tag w:val="goog_rdk_59"/>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的共病患者，其AD的病理並未明顯影響分流手術之臨床反應。</w:t>
                </w:r>
              </w:sdtContent>
            </w:sdt>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57">
            <w:pPr>
              <w:widowControl w:val="0"/>
              <w:spacing w:after="240" w:before="240" w:lineRule="auto"/>
              <w:jc w:val="both"/>
              <w:rPr>
                <w:sz w:val="24"/>
                <w:szCs w:val="24"/>
              </w:rPr>
            </w:pPr>
            <w:sdt>
              <w:sdtPr>
                <w:tag w:val="goog_rdk_60"/>
              </w:sdtPr>
              <w:sdtContent>
                <w:r w:rsidDel="00000000" w:rsidR="00000000" w:rsidRPr="00000000">
                  <w:rPr>
                    <w:rFonts w:ascii="Gungsuh" w:cs="Gungsuh" w:eastAsia="Gungsuh" w:hAnsi="Gungsuh"/>
                    <w:sz w:val="24"/>
                    <w:szCs w:val="24"/>
                    <w:rtl w:val="0"/>
                  </w:rPr>
                  <w:t xml:space="preserve">參考文獻：</w:t>
                </w:r>
              </w:sdtContent>
            </w:sdt>
          </w:p>
          <w:p w:rsidR="00000000" w:rsidDel="00000000" w:rsidP="00000000" w:rsidRDefault="00000000" w:rsidRPr="00000000" w14:paraId="00000058">
            <w:pPr>
              <w:widowControl w:val="0"/>
              <w:spacing w:after="240" w:before="240" w:lineRule="auto"/>
              <w:jc w:val="both"/>
              <w:rPr>
                <w:sz w:val="24"/>
                <w:szCs w:val="24"/>
              </w:rPr>
            </w:pPr>
            <w:sdt>
              <w:sdtPr>
                <w:tag w:val="goog_rdk_61"/>
              </w:sdtPr>
              <w:sdtContent>
                <w:r w:rsidDel="00000000" w:rsidR="00000000" w:rsidRPr="00000000">
                  <w:rPr>
                    <w:rFonts w:ascii="Gungsuh" w:cs="Gungsuh" w:eastAsia="Gungsuh" w:hAnsi="Gungsuh"/>
                    <w:sz w:val="24"/>
                    <w:szCs w:val="24"/>
                    <w:rtl w:val="0"/>
                  </w:rPr>
                  <w:t xml:space="preserve">１、（Level 3）</w:t>
                </w:r>
              </w:sdtContent>
            </w:sdt>
          </w:p>
          <w:p w:rsidR="00000000" w:rsidDel="00000000" w:rsidP="00000000" w:rsidRDefault="00000000" w:rsidRPr="00000000" w14:paraId="00000059">
            <w:pPr>
              <w:widowControl w:val="0"/>
              <w:spacing w:after="240" w:before="240" w:lineRule="auto"/>
              <w:jc w:val="both"/>
              <w:rPr>
                <w:color w:val="0000ff"/>
                <w:sz w:val="24"/>
                <w:szCs w:val="24"/>
                <w:u w:val="single"/>
              </w:rPr>
            </w:pPr>
            <w:r w:rsidDel="00000000" w:rsidR="00000000" w:rsidRPr="00000000">
              <w:rPr>
                <w:color w:val="222222"/>
                <w:sz w:val="22"/>
                <w:szCs w:val="22"/>
                <w:highlight w:val="white"/>
                <w:rtl w:val="0"/>
              </w:rPr>
              <w:t xml:space="preserve">Golomb, J., Wisoff, J., Miller, D. C., Boksay, I., Kluger, A., Weiner, H., ... &amp; Graves, W. (2000). Alzheimer's disease comorbidity in normal pressure hydrocephalus: prevalence and shunt response. </w:t>
            </w:r>
            <w:r w:rsidDel="00000000" w:rsidR="00000000" w:rsidRPr="00000000">
              <w:rPr>
                <w:i w:val="1"/>
                <w:sz w:val="24"/>
                <w:szCs w:val="24"/>
                <w:rtl w:val="0"/>
              </w:rPr>
              <w:t xml:space="preserve">Journal of Neurology, Neurosurgery &amp; Psychiatry</w:t>
            </w:r>
            <w:r w:rsidDel="00000000" w:rsidR="00000000" w:rsidRPr="00000000">
              <w:rPr>
                <w:sz w:val="24"/>
                <w:szCs w:val="24"/>
                <w:rtl w:val="0"/>
              </w:rPr>
              <w:t xml:space="preserve">, </w:t>
            </w:r>
            <w:r w:rsidDel="00000000" w:rsidR="00000000" w:rsidRPr="00000000">
              <w:rPr>
                <w:i w:val="1"/>
                <w:sz w:val="24"/>
                <w:szCs w:val="24"/>
                <w:rtl w:val="0"/>
              </w:rPr>
              <w:t xml:space="preserve">68</w:t>
            </w:r>
            <w:r w:rsidDel="00000000" w:rsidR="00000000" w:rsidRPr="00000000">
              <w:rPr>
                <w:sz w:val="24"/>
                <w:szCs w:val="24"/>
                <w:rtl w:val="0"/>
              </w:rPr>
              <w:t xml:space="preserve">(6), 778-781.</w:t>
            </w:r>
            <w:hyperlink r:id="rId8">
              <w:r w:rsidDel="00000000" w:rsidR="00000000" w:rsidRPr="00000000">
                <w:rPr>
                  <w:color w:val="0000ff"/>
                  <w:sz w:val="26"/>
                  <w:szCs w:val="26"/>
                  <w:highlight w:val="white"/>
                  <w:u w:val="single"/>
                  <w:rtl w:val="0"/>
                </w:rPr>
                <w:t xml:space="preserve">http://dx.doi.org/10.1136/jnnp.68.6.778</w:t>
              </w:r>
            </w:hyperlink>
            <w:r w:rsidDel="00000000" w:rsidR="00000000" w:rsidRPr="00000000">
              <w:rPr>
                <w:rtl w:val="0"/>
              </w:rPr>
            </w:r>
          </w:p>
          <w:p w:rsidR="00000000" w:rsidDel="00000000" w:rsidP="00000000" w:rsidRDefault="00000000" w:rsidRPr="00000000" w14:paraId="0000005A">
            <w:pPr>
              <w:widowControl w:val="0"/>
              <w:spacing w:after="240" w:before="240" w:lineRule="auto"/>
              <w:jc w:val="both"/>
              <w:rPr>
                <w:sz w:val="24"/>
                <w:szCs w:val="24"/>
              </w:rPr>
            </w:pPr>
            <w:sdt>
              <w:sdtPr>
                <w:tag w:val="goog_rdk_62"/>
              </w:sdtPr>
              <w:sdtContent>
                <w:r w:rsidDel="00000000" w:rsidR="00000000" w:rsidRPr="00000000">
                  <w:rPr>
                    <w:rFonts w:ascii="Gungsuh" w:cs="Gungsuh" w:eastAsia="Gungsuh" w:hAnsi="Gungsuh"/>
                    <w:sz w:val="24"/>
                    <w:szCs w:val="24"/>
                    <w:rtl w:val="0"/>
                  </w:rPr>
                  <w:t xml:space="preserve">２、（Level 2）</w:t>
                </w:r>
              </w:sdtContent>
            </w:sdt>
          </w:p>
          <w:p w:rsidR="00000000" w:rsidDel="00000000" w:rsidP="00000000" w:rsidRDefault="00000000" w:rsidRPr="00000000" w14:paraId="0000005B">
            <w:pPr>
              <w:widowControl w:val="0"/>
              <w:spacing w:after="240" w:before="240" w:lineRule="auto"/>
              <w:jc w:val="both"/>
              <w:rPr>
                <w:color w:val="0000ff"/>
                <w:sz w:val="24"/>
                <w:szCs w:val="24"/>
                <w:u w:val="single"/>
              </w:rPr>
            </w:pPr>
            <w:r w:rsidDel="00000000" w:rsidR="00000000" w:rsidRPr="00000000">
              <w:rPr>
                <w:sz w:val="24"/>
                <w:szCs w:val="24"/>
                <w:rtl w:val="0"/>
              </w:rPr>
              <w:t xml:space="preserve">Picascia, M., Zangaglia, R., Bernini, S., Minafra, B., Sinforiani, E., &amp; Pacchetti, C. (2016). A review of cognitive impairment and differential diagnosis in idiopathic normal pressure hydrocephalus. </w:t>
            </w:r>
            <w:r w:rsidDel="00000000" w:rsidR="00000000" w:rsidRPr="00000000">
              <w:rPr>
                <w:i w:val="1"/>
                <w:sz w:val="24"/>
                <w:szCs w:val="24"/>
                <w:rtl w:val="0"/>
              </w:rPr>
              <w:t xml:space="preserve">Functional Neurology</w:t>
            </w:r>
            <w:r w:rsidDel="00000000" w:rsidR="00000000" w:rsidRPr="00000000">
              <w:rPr>
                <w:sz w:val="24"/>
                <w:szCs w:val="24"/>
                <w:rtl w:val="0"/>
              </w:rPr>
              <w:t xml:space="preserve">, </w:t>
            </w:r>
            <w:r w:rsidDel="00000000" w:rsidR="00000000" w:rsidRPr="00000000">
              <w:rPr>
                <w:i w:val="1"/>
                <w:sz w:val="24"/>
                <w:szCs w:val="24"/>
                <w:rtl w:val="0"/>
              </w:rPr>
              <w:t xml:space="preserve">30</w:t>
            </w:r>
            <w:r w:rsidDel="00000000" w:rsidR="00000000" w:rsidRPr="00000000">
              <w:rPr>
                <w:sz w:val="24"/>
                <w:szCs w:val="24"/>
                <w:rtl w:val="0"/>
              </w:rPr>
              <w:t xml:space="preserve">(4), 217–228.</w:t>
            </w:r>
            <w:hyperlink r:id="rId9">
              <w:r w:rsidDel="00000000" w:rsidR="00000000" w:rsidRPr="00000000">
                <w:rPr>
                  <w:sz w:val="24"/>
                  <w:szCs w:val="24"/>
                  <w:rtl w:val="0"/>
                </w:rPr>
                <w:t xml:space="preserve"> </w:t>
              </w:r>
            </w:hyperlink>
            <w:hyperlink r:id="rId10">
              <w:r w:rsidDel="00000000" w:rsidR="00000000" w:rsidRPr="00000000">
                <w:rPr>
                  <w:color w:val="0000ff"/>
                  <w:sz w:val="24"/>
                  <w:szCs w:val="24"/>
                  <w:u w:val="single"/>
                  <w:rtl w:val="0"/>
                </w:rPr>
                <w:t xml:space="preserve">https://doi.org/10.11138/FNeur/2015.30.4.217</w:t>
              </w:r>
            </w:hyperlink>
            <w:r w:rsidDel="00000000" w:rsidR="00000000" w:rsidRPr="00000000">
              <w:rPr>
                <w:rtl w:val="0"/>
              </w:rPr>
            </w:r>
          </w:p>
          <w:p w:rsidR="00000000" w:rsidDel="00000000" w:rsidP="00000000" w:rsidRDefault="00000000" w:rsidRPr="00000000" w14:paraId="0000005C">
            <w:pPr>
              <w:widowControl w:val="0"/>
              <w:spacing w:after="240" w:before="240" w:lineRule="auto"/>
              <w:jc w:val="both"/>
              <w:rPr>
                <w:sz w:val="24"/>
                <w:szCs w:val="24"/>
              </w:rPr>
            </w:pPr>
            <w:r w:rsidDel="00000000" w:rsidR="00000000" w:rsidRPr="00000000">
              <w:rPr>
                <w:rtl w:val="0"/>
              </w:rPr>
            </w:r>
          </w:p>
        </w:tc>
      </w:tr>
      <w:tr>
        <w:trPr>
          <w:cantSplit w:val="0"/>
          <w:trHeight w:val="397" w:hRule="atLeast"/>
          <w:tblHeader w:val="0"/>
        </w:trPr>
        <w:tc>
          <w:tcPr>
            <w:gridSpan w:val="7"/>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63"/>
              </w:sdtPr>
              <w:sdtContent>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結論(Reviewers' conclusions)</w:t>
                </w:r>
              </w:sdtContent>
            </w:sdt>
            <w:sdt>
              <w:sdtPr>
                <w:tag w:val="goog_rdk_64"/>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佔分30%</w:t>
                </w:r>
              </w:sdtContent>
            </w:sdt>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65"/>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w:t>
                </w:r>
              </w:sdtContent>
            </w:sdt>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Normal pressure hydrocephalus</w:t>
            </w:r>
            <w:sdt>
              <w:sdtPr>
                <w:tag w:val="goog_rdk_66"/>
              </w:sdtPr>
              <w:sdtContent>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（NPH）</w:t>
                </w:r>
              </w:sdtContent>
            </w:sdt>
            <w:sdt>
              <w:sdtPr>
                <w:tag w:val="goog_rdk_67"/>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最常見且最先出現的症狀為步距小、平衡及步態缺損，起步走或轉身時特別困難；第二個症狀為認知或行為功能異常，包含：記憶力衰退、思考遲緩、反應緩慢等症狀；第三個症狀是失禁，由於其認知功能衰退的表現類似Alzheimer's disease</w:t>
                </w:r>
              </w:sdtContent>
            </w:sdt>
            <w:sdt>
              <w:sdtPr>
                <w:tag w:val="goog_rdk_68"/>
              </w:sdtPr>
              <w:sdtContent>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（AD）</w:t>
                </w:r>
              </w:sdtContent>
            </w:sdt>
            <w:sdt>
              <w:sdtPr>
                <w:tag w:val="goog_rdk_69"/>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因而增加了診斷的困難度與複雜性。部分</w:t>
                </w:r>
              </w:sdtContent>
            </w:sdt>
            <w:sdt>
              <w:sdtPr>
                <w:tag w:val="goog_rdk_70"/>
              </w:sdtPr>
              <w:sdtContent>
                <w:r w:rsidDel="00000000" w:rsidR="00000000" w:rsidRPr="00000000">
                  <w:rPr>
                    <w:rFonts w:ascii="Gungsuh" w:cs="Gungsuh" w:eastAsia="Gungsuh" w:hAnsi="Gungsuh"/>
                    <w:b w:val="0"/>
                    <w:i w:val="0"/>
                    <w:smallCaps w:val="0"/>
                    <w:strike w:val="0"/>
                    <w:color w:val="333333"/>
                    <w:sz w:val="24"/>
                    <w:szCs w:val="24"/>
                    <w:highlight w:val="white"/>
                    <w:u w:val="none"/>
                    <w:vertAlign w:val="baseline"/>
                    <w:rtl w:val="0"/>
                  </w:rPr>
                  <w:t xml:space="preserve">NPH患者在接受分流手術後，步態缺損會有明顯改善。</w:t>
                </w:r>
              </w:sdtContent>
            </w:sdt>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71"/>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研究結果亦顯示，</w:t>
                </w:r>
              </w:sdtContent>
            </w:sdt>
            <w:sdt>
              <w:sdtPr>
                <w:tag w:val="goog_rdk_72"/>
              </w:sdtPr>
              <w:sdtContent>
                <w:r w:rsidDel="00000000" w:rsidR="00000000" w:rsidRPr="00000000">
                  <w:rPr>
                    <w:rFonts w:ascii="Gungsuh" w:cs="Gungsuh" w:eastAsia="Gungsuh" w:hAnsi="Gungsuh"/>
                    <w:b w:val="0"/>
                    <w:i w:val="0"/>
                    <w:smallCaps w:val="0"/>
                    <w:strike w:val="0"/>
                    <w:color w:val="333333"/>
                    <w:sz w:val="24"/>
                    <w:szCs w:val="24"/>
                    <w:highlight w:val="white"/>
                    <w:u w:val="none"/>
                    <w:vertAlign w:val="baseline"/>
                    <w:rtl w:val="0"/>
                  </w:rPr>
                  <w:t xml:space="preserve">NPH患者伴隨的</w:t>
                </w:r>
              </w:sdtContent>
            </w:sdt>
            <w:sdt>
              <w:sdtPr>
                <w:tag w:val="goog_rdk_73"/>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認知功能減損可能是可逆的，並且NPH的認知功能缺損又被視為“fronto-subcortical dementia”，其特徵包含執行功能缺損、心理動作遲緩和淡漠的情緒反應，類似額葉功能障礙；相反地，AD患者的認知功能減損則為漸進式、緩慢且不可逆的，且Alzheimer's disease初期的症狀為記憶力下降，但額葉功能尚保存，且顯少出現步態不穩、尿失禁等問題。</w:t>
                </w:r>
              </w:sdtContent>
            </w:sdt>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74"/>
              </w:sdtPr>
              <w:sdtContent>
                <w:r w:rsidDel="00000000" w:rsidR="00000000" w:rsidRPr="00000000">
                  <w:rPr>
                    <w:rFonts w:ascii="Gungsuh" w:cs="Gungsuh" w:eastAsia="Gungsuh" w:hAnsi="Gungsuh"/>
                    <w:b w:val="0"/>
                    <w:i w:val="0"/>
                    <w:smallCaps w:val="0"/>
                    <w:strike w:val="0"/>
                    <w:color w:val="333333"/>
                    <w:sz w:val="24"/>
                    <w:szCs w:val="24"/>
                    <w:highlight w:val="white"/>
                    <w:u w:val="none"/>
                    <w:vertAlign w:val="baseline"/>
                    <w:rtl w:val="0"/>
                  </w:rPr>
                  <w:t xml:space="preserve">另外，Normal pressure hydrocephalus與</w:t>
                </w:r>
              </w:sdtContent>
            </w:sdt>
            <w:sdt>
              <w:sdtPr>
                <w:tag w:val="goog_rdk_75"/>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Alzheimer's disease也可能同時出現，在接受分流手術後，共病患者仍可改善步態不穩的狀況，但認知功能及排尿異常的狀況則未有明顯不同；Alzheimer's disease的症狀不會因為分流手術而有明顯改善。</w:t>
                </w:r>
              </w:sdtContent>
            </w:sdt>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74" w:hRule="atLeast"/>
          <w:tblHeader w:val="0"/>
        </w:trPr>
        <w:tc>
          <w:tcPr>
            <w:gridSpan w:val="7"/>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76"/>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現況分析與臨床應用(Clinical practice)佔分30% :</w:t>
                </w:r>
              </w:sdtContent>
            </w:sdt>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77"/>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w:t>
                </w:r>
              </w:sdtContent>
            </w:sdt>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Normal pressure hydrocephalus</w:t>
            </w:r>
            <w:sdt>
              <w:sdtPr>
                <w:tag w:val="goog_rdk_78"/>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與Alzheimer's disease在認知功能的缺損上相似的表現，包含：記憶力下降、思考遲緩、反應緩慢；為了確認診斷的準確性，可以進行進一步的測試：如神經心理測驗（MMSE、涉及額葉功能的TMT, FAB, Wisconsin Card Sorting Test等）、腦影像檢查、臨床檢查（反應速度、身體機能）及腦脊隨液測試；Alzheimer's disease等多種腦部疾病會導致腦組織收縮，使腦室看起來比正常情況大；而在</w:t>
                </w:r>
              </w:sdtContent>
            </w:sdt>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Normal pressure hydrocephalus</w:t>
            </w:r>
            <w:sdt>
              <w:sdtPr>
                <w:tag w:val="goog_rdk_79"/>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，會出現額葉灌流不足、內側顳葉體積減少，但即使腦室擴大，腦組織也可能不會出現萎縮。</w:t>
                </w:r>
              </w:sdtContent>
            </w:sdt>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52" w:hRule="atLeast"/>
          <w:tblHeader w:val="0"/>
        </w:trPr>
        <w:tc>
          <w:tcPr>
            <w:gridSpan w:val="7"/>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80"/>
              </w:sdtPr>
              <w:sdtContent>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加分項目-醫病共享決策(SDM)之施行方法</w:t>
                </w:r>
              </w:sdtContent>
            </w:sdt>
            <w:sdt>
              <w:sdtPr>
                <w:tag w:val="goog_rdk_81"/>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，至多加分20%</w:t>
                </w:r>
              </w:sdtContent>
            </w:sdt>
            <w:sdt>
              <w:sdtPr>
                <w:tag w:val="goog_rdk_82"/>
              </w:sdtPr>
              <w:sdtContent>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52" w:hRule="atLeast"/>
          <w:tblHeader w:val="0"/>
        </w:trPr>
        <w:tc>
          <w:tcPr>
            <w:gridSpan w:val="7"/>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sdt>
              <w:sdtPr>
                <w:tag w:val="goog_rdk_83"/>
              </w:sdtPr>
              <w:sdtContent>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種子教師意見:</w:t>
                </w:r>
              </w:sdtContent>
            </w:sdt>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sz w:val="24"/>
                <w:szCs w:val="24"/>
              </w:rPr>
            </w:pPr>
            <w:sdt>
              <w:sdtPr>
                <w:tag w:val="goog_rdk_84"/>
              </w:sdtPr>
              <w:sdtContent>
                <w:r w:rsidDel="00000000" w:rsidR="00000000" w:rsidRPr="00000000">
                  <w:rPr>
                    <w:rFonts w:ascii="Gungsuh" w:cs="Gungsuh" w:eastAsia="Gungsuh" w:hAnsi="Gungsuh"/>
                    <w:sz w:val="24"/>
                    <w:szCs w:val="24"/>
                    <w:rtl w:val="0"/>
                  </w:rPr>
                  <w:t xml:space="preserve">透過實證文獻查證，可發現NPH與AD在神經心理功能有明顯差異，前者主要在執行功能領域有較大的困難，後者則是在近期記憶儲存有所缺損，透過神經心理衡鑑，可協助我們進一步澄清其功能缺損，形成更精確的鑑別診斷。</w:t>
                </w:r>
              </w:sdtContent>
            </w:sdt>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85"/>
              </w:sdtPr>
              <w:sdtContent>
                <w:r w:rsidDel="00000000" w:rsidR="00000000" w:rsidRPr="00000000">
                  <w:rPr>
                    <w:rFonts w:ascii="Gungsuh" w:cs="Gungsuh" w:eastAsia="Gungsuh" w:hAnsi="Gungsuh"/>
                    <w:sz w:val="24"/>
                    <w:szCs w:val="24"/>
                    <w:rtl w:val="0"/>
                  </w:rPr>
                  <w:t xml:space="preserve">李志謙 2022/06/20</w:t>
                </w:r>
              </w:sdtContent>
            </w:sdt>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footerReference r:id="rId11" w:type="default"/>
          <w:pgSz w:h="16838" w:w="11906" w:orient="portrait"/>
          <w:pgMar w:bottom="567" w:top="709" w:left="1304" w:right="1304" w:header="851" w:footer="425"/>
          <w:pgNumType w:start="1"/>
        </w:sectPr>
      </w:pPr>
      <w:sdt>
        <w:sdtPr>
          <w:tag w:val="goog_rdk_86"/>
        </w:sdtPr>
        <w:sdtContent>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報名參賽者視同同意實證醫學中心將投稿內容放置於院內網路平台供同仁觀摩。</w:t>
          </w:r>
        </w:sdtContent>
      </w:sdt>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-283844</wp:posOffset>
            </wp:positionH>
            <wp:positionV relativeFrom="paragraph">
              <wp:posOffset>-551814</wp:posOffset>
            </wp:positionV>
            <wp:extent cx="9431655" cy="6235700"/>
            <wp:effectExtent b="0" l="0" r="0" t="0"/>
            <wp:wrapNone/>
            <wp:docPr id="1026" name="image2.jpg"/>
            <a:graphic>
              <a:graphicData uri="http://schemas.openxmlformats.org/drawingml/2006/picture">
                <pic:pic>
                  <pic:nvPicPr>
                    <pic:cNvPr id="0" name="image2.jpg"/>
                    <pic:cNvPicPr preferRelativeResize="0"/>
                  </pic:nvPicPr>
                  <pic:blipFill>
                    <a:blip r:embed="rId12"/>
                    <a:srcRect b="8397" l="4104" r="4675" t="6278"/>
                    <a:stretch>
                      <a:fillRect/>
                    </a:stretch>
                  </pic:blipFill>
                  <pic:spPr>
                    <a:xfrm>
                      <a:off x="0" y="0"/>
                      <a:ext cx="9431655" cy="6235700"/>
                    </a:xfrm>
                    <a:prstGeom prst="rect"/>
                    <a:ln/>
                  </pic:spPr>
                </pic:pic>
              </a:graphicData>
            </a:graphic>
          </wp:anchor>
        </w:drawing>
      </w:r>
    </w:p>
    <w:sectPr>
      <w:type w:val="nextPage"/>
      <w:pgSz w:h="11906" w:w="16838" w:orient="landscape"/>
      <w:pgMar w:bottom="1304" w:top="1304" w:left="567" w:right="709" w:header="851" w:footer="42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Gungsuh"/>
  <w:font w:name="MS Gothic"/>
  <w:font w:name="DFKai-SB"/>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內文">
    <w:name w:val="內文"/>
    <w:next w:val="內文"/>
    <w:autoRedefine w:val="0"/>
    <w:hidden w:val="0"/>
    <w:qFormat w:val="0"/>
    <w:pPr>
      <w:widowControl w:val="0"/>
      <w:suppressAutoHyphens w:val="1"/>
      <w:spacing w:line="1" w:lineRule="atLeast"/>
      <w:ind w:leftChars="-1" w:rightChars="0" w:firstLineChars="-1"/>
      <w:textDirection w:val="btLr"/>
      <w:textAlignment w:val="top"/>
      <w:outlineLvl w:val="0"/>
    </w:pPr>
    <w:rPr>
      <w:w w:val="100"/>
      <w:kern w:val="2"/>
      <w:position w:val="-1"/>
      <w:sz w:val="24"/>
      <w:effect w:val="none"/>
      <w:vertAlign w:val="baseline"/>
      <w:cs w:val="0"/>
      <w:em w:val="none"/>
      <w:lang w:bidi="ar-SA" w:eastAsia="zh-TW" w:val="en-US"/>
    </w:rPr>
  </w:style>
  <w:style w:type="paragraph" w:styleId="標題1">
    <w:name w:val="標題 1"/>
    <w:basedOn w:val="內文"/>
    <w:next w:val="標題1"/>
    <w:autoRedefine w:val="0"/>
    <w:hidden w:val="0"/>
    <w:qFormat w:val="0"/>
    <w:pPr>
      <w:widowControl w:val="1"/>
      <w:suppressAutoHyphens w:val="1"/>
      <w:spacing w:after="100" w:afterAutospacing="1" w:before="100" w:beforeAutospacing="1" w:line="1" w:lineRule="atLeast"/>
      <w:ind w:leftChars="-1" w:rightChars="0" w:firstLineChars="-1"/>
      <w:textDirection w:val="btLr"/>
      <w:textAlignment w:val="top"/>
      <w:outlineLvl w:val="0"/>
    </w:pPr>
    <w:rPr>
      <w:rFonts w:ascii="新細明體" w:cs="新細明體" w:hAnsi="新細明體"/>
      <w:b w:val="1"/>
      <w:bCs w:val="1"/>
      <w:w w:val="100"/>
      <w:kern w:val="36"/>
      <w:position w:val="-1"/>
      <w:sz w:val="48"/>
      <w:szCs w:val="48"/>
      <w:effect w:val="none"/>
      <w:vertAlign w:val="baseline"/>
      <w:cs w:val="0"/>
      <w:em w:val="none"/>
      <w:lang w:bidi="ar-SA" w:eastAsia="zh-TW" w:val="en-US"/>
    </w:rPr>
  </w:style>
  <w:style w:type="paragraph" w:styleId="標題2">
    <w:name w:val="標題 2"/>
    <w:basedOn w:val="內文"/>
    <w:next w:val="內文"/>
    <w:autoRedefine w:val="0"/>
    <w:hidden w:val="0"/>
    <w:qFormat w:val="1"/>
    <w:pPr>
      <w:keepNext w:val="1"/>
      <w:widowControl w:val="0"/>
      <w:suppressAutoHyphens w:val="1"/>
      <w:spacing w:line="720" w:lineRule="auto"/>
      <w:ind w:leftChars="-1" w:rightChars="0" w:firstLineChars="-1"/>
      <w:textDirection w:val="btLr"/>
      <w:textAlignment w:val="top"/>
      <w:outlineLvl w:val="1"/>
    </w:pPr>
    <w:rPr>
      <w:rFonts w:ascii="Calibri Light" w:cs="Times New Roman" w:eastAsia="新細明體" w:hAnsi="Calibri Light"/>
      <w:b w:val="1"/>
      <w:bCs w:val="1"/>
      <w:w w:val="100"/>
      <w:kern w:val="2"/>
      <w:position w:val="-1"/>
      <w:sz w:val="48"/>
      <w:szCs w:val="48"/>
      <w:effect w:val="none"/>
      <w:vertAlign w:val="baseline"/>
      <w:cs w:val="0"/>
      <w:em w:val="none"/>
      <w:lang w:bidi="ar-SA" w:eastAsia="zh-TW" w:val="en-US"/>
    </w:rPr>
  </w:style>
  <w:style w:type="paragraph" w:styleId="標題3">
    <w:name w:val="標題 3"/>
    <w:basedOn w:val="內文"/>
    <w:next w:val="標題3"/>
    <w:autoRedefine w:val="0"/>
    <w:hidden w:val="0"/>
    <w:qFormat w:val="0"/>
    <w:pPr>
      <w:widowControl w:val="1"/>
      <w:suppressAutoHyphens w:val="1"/>
      <w:spacing w:after="100" w:afterAutospacing="1" w:before="100" w:beforeAutospacing="1" w:line="1" w:lineRule="atLeast"/>
      <w:ind w:leftChars="-1" w:rightChars="0" w:firstLineChars="-1"/>
      <w:textDirection w:val="btLr"/>
      <w:textAlignment w:val="top"/>
      <w:outlineLvl w:val="2"/>
    </w:pPr>
    <w:rPr>
      <w:rFonts w:ascii="新細明體" w:cs="新細明體" w:hAnsi="新細明體"/>
      <w:b w:val="1"/>
      <w:bCs w:val="1"/>
      <w:w w:val="100"/>
      <w:kern w:val="0"/>
      <w:position w:val="-1"/>
      <w:sz w:val="27"/>
      <w:szCs w:val="27"/>
      <w:effect w:val="none"/>
      <w:vertAlign w:val="baseline"/>
      <w:cs w:val="0"/>
      <w:em w:val="none"/>
      <w:lang w:bidi="ar-SA" w:eastAsia="zh-TW" w:val="en-US"/>
    </w:rPr>
  </w:style>
  <w:style w:type="paragraph" w:styleId="標題4">
    <w:name w:val="標題 4"/>
    <w:basedOn w:val="內文"/>
    <w:next w:val="內文"/>
    <w:autoRedefine w:val="0"/>
    <w:hidden w:val="0"/>
    <w:qFormat w:val="0"/>
    <w:pPr>
      <w:keepNext w:val="1"/>
      <w:widowControl w:val="0"/>
      <w:suppressAutoHyphens w:val="1"/>
      <w:spacing w:line="720" w:lineRule="auto"/>
      <w:ind w:leftChars="-1" w:rightChars="0" w:firstLineChars="-1"/>
      <w:textDirection w:val="btLr"/>
      <w:textAlignment w:val="top"/>
      <w:outlineLvl w:val="3"/>
    </w:pPr>
    <w:rPr>
      <w:rFonts w:ascii="Arial" w:hAnsi="Arial"/>
      <w:w w:val="100"/>
      <w:kern w:val="2"/>
      <w:position w:val="-1"/>
      <w:sz w:val="36"/>
      <w:szCs w:val="36"/>
      <w:effect w:val="none"/>
      <w:vertAlign w:val="baseline"/>
      <w:cs w:val="0"/>
      <w:em w:val="none"/>
      <w:lang w:bidi="ar-SA" w:eastAsia="zh-TW" w:val="en-US"/>
    </w:rPr>
  </w:style>
  <w:style w:type="character" w:styleId="預設段落字型">
    <w:name w:val="預設段落字型"/>
    <w:next w:val="預設段落字型"/>
    <w:autoRedefine w:val="0"/>
    <w:hidden w:val="0"/>
    <w:qFormat w:val="0"/>
    <w:rPr>
      <w:w w:val="100"/>
      <w:position w:val="-1"/>
      <w:effect w:val="none"/>
      <w:vertAlign w:val="baseline"/>
      <w:cs w:val="0"/>
      <w:em w:val="none"/>
      <w:lang/>
    </w:rPr>
  </w:style>
  <w:style w:type="table" w:styleId="表格內文">
    <w:name w:val="表格內文"/>
    <w:next w:val="表格內文"/>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內文"/>
      <w:jc w:val="left"/>
      <w:tblInd w:w="0.0" w:type="dxa"/>
      <w:tblCellMar>
        <w:top w:w="0.0" w:type="dxa"/>
        <w:left w:w="108.0" w:type="dxa"/>
        <w:bottom w:w="0.0" w:type="dxa"/>
        <w:right w:w="108.0" w:type="dxa"/>
      </w:tblCellMar>
    </w:tblPr>
  </w:style>
  <w:style w:type="numbering" w:styleId="無清單">
    <w:name w:val="無清單"/>
    <w:next w:val="無清單"/>
    <w:autoRedefine w:val="0"/>
    <w:hidden w:val="0"/>
    <w:qFormat w:val="0"/>
    <w:pPr>
      <w:suppressAutoHyphens w:val="1"/>
      <w:spacing w:line="1" w:lineRule="atLeast"/>
      <w:ind w:leftChars="-1" w:rightChars="0" w:firstLineChars="-1"/>
      <w:textDirection w:val="btLr"/>
      <w:textAlignment w:val="top"/>
      <w:outlineLvl w:val="0"/>
    </w:pPr>
  </w:style>
  <w:style w:type="paragraph" w:styleId="頁首">
    <w:name w:val="頁首"/>
    <w:basedOn w:val="內文"/>
    <w:next w:val="頁首"/>
    <w:autoRedefine w:val="0"/>
    <w:hidden w:val="0"/>
    <w:qFormat w:val="0"/>
    <w:pPr>
      <w:widowControl w:val="0"/>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kern w:val="2"/>
      <w:position w:val="-1"/>
      <w:sz w:val="20"/>
      <w:effect w:val="none"/>
      <w:vertAlign w:val="baseline"/>
      <w:cs w:val="0"/>
      <w:em w:val="none"/>
      <w:lang w:bidi="ar-SA" w:eastAsia="zh-TW" w:val="en-US"/>
    </w:rPr>
  </w:style>
  <w:style w:type="paragraph" w:styleId="頁尾">
    <w:name w:val="頁尾"/>
    <w:basedOn w:val="內文"/>
    <w:next w:val="頁尾"/>
    <w:autoRedefine w:val="0"/>
    <w:hidden w:val="0"/>
    <w:qFormat w:val="0"/>
    <w:pPr>
      <w:widowControl w:val="0"/>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kern w:val="2"/>
      <w:position w:val="-1"/>
      <w:sz w:val="20"/>
      <w:effect w:val="none"/>
      <w:vertAlign w:val="baseline"/>
      <w:cs w:val="0"/>
      <w:em w:val="none"/>
      <w:lang w:bidi="ar-SA" w:eastAsia="zh-TW" w:val="en-US"/>
    </w:rPr>
  </w:style>
  <w:style w:type="character" w:styleId="apple-converted-space">
    <w:name w:val="apple-converted-space"/>
    <w:basedOn w:val="預設段落字型"/>
    <w:next w:val="apple-converted-space"/>
    <w:autoRedefine w:val="0"/>
    <w:hidden w:val="0"/>
    <w:qFormat w:val="0"/>
    <w:rPr>
      <w:w w:val="100"/>
      <w:position w:val="-1"/>
      <w:effect w:val="none"/>
      <w:vertAlign w:val="baseline"/>
      <w:cs w:val="0"/>
      <w:em w:val="none"/>
      <w:lang/>
    </w:rPr>
  </w:style>
  <w:style w:type="character" w:styleId="超連結">
    <w:name w:val="超連結"/>
    <w:next w:val="超連結"/>
    <w:autoRedefine w:val="0"/>
    <w:hidden w:val="0"/>
    <w:qFormat w:val="1"/>
    <w:rPr>
      <w:color w:val="0000ff"/>
      <w:w w:val="100"/>
      <w:position w:val="-1"/>
      <w:u w:val="single"/>
      <w:effect w:val="none"/>
      <w:vertAlign w:val="baseline"/>
      <w:cs w:val="0"/>
      <w:em w:val="none"/>
      <w:lang/>
    </w:rPr>
  </w:style>
  <w:style w:type="character" w:styleId="alt-edited1">
    <w:name w:val="alt-edited1"/>
    <w:next w:val="alt-edited1"/>
    <w:autoRedefine w:val="0"/>
    <w:hidden w:val="0"/>
    <w:qFormat w:val="0"/>
    <w:rPr>
      <w:color w:val="4d90f0"/>
      <w:w w:val="100"/>
      <w:position w:val="-1"/>
      <w:effect w:val="none"/>
      <w:vertAlign w:val="baseline"/>
      <w:cs w:val="0"/>
      <w:em w:val="none"/>
      <w:lang/>
    </w:rPr>
  </w:style>
  <w:style w:type="character" w:styleId="short_text">
    <w:name w:val="short_text"/>
    <w:basedOn w:val="預設段落字型"/>
    <w:next w:val="short_text"/>
    <w:autoRedefine w:val="0"/>
    <w:hidden w:val="0"/>
    <w:qFormat w:val="0"/>
    <w:rPr>
      <w:w w:val="100"/>
      <w:position w:val="-1"/>
      <w:effect w:val="none"/>
      <w:vertAlign w:val="baseline"/>
      <w:cs w:val="0"/>
      <w:em w:val="none"/>
      <w:lang/>
    </w:rPr>
  </w:style>
  <w:style w:type="character" w:styleId="highlight">
    <w:name w:val="highlight"/>
    <w:basedOn w:val="預設段落字型"/>
    <w:next w:val="highlight"/>
    <w:autoRedefine w:val="0"/>
    <w:hidden w:val="0"/>
    <w:qFormat w:val="0"/>
    <w:rPr>
      <w:w w:val="100"/>
      <w:position w:val="-1"/>
      <w:effect w:val="none"/>
      <w:vertAlign w:val="baseline"/>
      <w:cs w:val="0"/>
      <w:em w:val="none"/>
      <w:lang/>
    </w:rPr>
  </w:style>
  <w:style w:type="character" w:styleId="ui-ncbitoggler-master-text">
    <w:name w:val="ui-ncbitoggler-master-text"/>
    <w:basedOn w:val="預設段落字型"/>
    <w:next w:val="ui-ncbitoggler-master-text"/>
    <w:autoRedefine w:val="0"/>
    <w:hidden w:val="0"/>
    <w:qFormat w:val="0"/>
    <w:rPr>
      <w:w w:val="100"/>
      <w:position w:val="-1"/>
      <w:effect w:val="none"/>
      <w:vertAlign w:val="baseline"/>
      <w:cs w:val="0"/>
      <w:em w:val="none"/>
      <w:lang/>
    </w:rPr>
  </w:style>
  <w:style w:type="paragraph" w:styleId="內文(Web)">
    <w:name w:val="內文 (Web)"/>
    <w:basedOn w:val="內文"/>
    <w:next w:val="內文(Web)"/>
    <w:autoRedefine w:val="0"/>
    <w:hidden w:val="0"/>
    <w:qFormat w:val="0"/>
    <w:pPr>
      <w:widowControl w:val="1"/>
      <w:suppressAutoHyphens w:val="1"/>
      <w:spacing w:after="100" w:afterAutospacing="1" w:before="100" w:beforeAutospacing="1" w:line="1" w:lineRule="atLeast"/>
      <w:ind w:leftChars="-1" w:rightChars="0" w:firstLineChars="-1"/>
      <w:textDirection w:val="btLr"/>
      <w:textAlignment w:val="top"/>
      <w:outlineLvl w:val="0"/>
    </w:pPr>
    <w:rPr>
      <w:rFonts w:ascii="新細明體" w:cs="新細明體" w:hAnsi="新細明體"/>
      <w:w w:val="100"/>
      <w:kern w:val="0"/>
      <w:position w:val="-1"/>
      <w:sz w:val="24"/>
      <w:szCs w:val="24"/>
      <w:effect w:val="none"/>
      <w:vertAlign w:val="baseline"/>
      <w:cs w:val="0"/>
      <w:em w:val="none"/>
      <w:lang w:bidi="ar-SA" w:eastAsia="zh-TW" w:val="en-US"/>
    </w:rPr>
  </w:style>
  <w:style w:type="character" w:styleId="標題2字元">
    <w:name w:val="標題 2 字元"/>
    <w:next w:val="標題2字元"/>
    <w:autoRedefine w:val="0"/>
    <w:hidden w:val="0"/>
    <w:qFormat w:val="0"/>
    <w:rPr>
      <w:rFonts w:ascii="Calibri Light" w:cs="Times New Roman" w:eastAsia="新細明體" w:hAnsi="Calibri Light"/>
      <w:b w:val="1"/>
      <w:bCs w:val="1"/>
      <w:w w:val="100"/>
      <w:kern w:val="2"/>
      <w:position w:val="-1"/>
      <w:sz w:val="48"/>
      <w:szCs w:val="4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28.0" w:type="dxa"/>
        <w:bottom w:w="0.0" w:type="dxa"/>
        <w:right w:w="28.0" w:type="dxa"/>
      </w:tblCellMar>
    </w:tblPr>
  </w:style>
  <w:style w:type="table" w:styleId="Table2">
    <w:basedOn w:val="TableNormal"/>
    <w:tblPr>
      <w:tblStyleRowBandSize w:val="1"/>
      <w:tblStyleColBandSize w:val="1"/>
      <w:tblCellMar>
        <w:top w:w="0.0" w:type="dxa"/>
        <w:left w:w="28.0" w:type="dxa"/>
        <w:bottom w:w="0.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doi.org/10.11138/FNeur/2015.30.4.217" TargetMode="External"/><Relationship Id="rId12" Type="http://schemas.openxmlformats.org/officeDocument/2006/relationships/image" Target="media/image2.jpg"/><Relationship Id="rId9" Type="http://schemas.openxmlformats.org/officeDocument/2006/relationships/hyperlink" Target="https://doi.org/10.11138/FNeur/2015.30.4.217"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dx.doi.org/10.1136/jnnp.68.6.7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kkndXqtu5usPLebxoOGQl6Lh9A==">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2022-06-18T08:30:00Z</dcterms:created>
  <dc:creator>ebmcenter</dc:creator>
</cp:coreProperties>
</file>